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182" w:rsidRDefault="00617B4F">
      <w:pPr>
        <w:spacing w:after="0"/>
        <w:ind w:left="0" w:firstLine="0"/>
        <w:jc w:val="center"/>
        <w:rPr>
          <w:b/>
          <w:bCs/>
          <w:sz w:val="24"/>
          <w:szCs w:val="24"/>
        </w:rPr>
      </w:pPr>
      <w:bookmarkStart w:id="0" w:name="_GoBack"/>
      <w:bookmarkEnd w:id="0"/>
      <w:r>
        <w:rPr>
          <w:b/>
          <w:bCs/>
          <w:sz w:val="24"/>
          <w:szCs w:val="24"/>
        </w:rPr>
        <w:t>TIEKĖJŲ RIZIKOS VERTINIMO KLAUSIMYNAS</w:t>
      </w:r>
    </w:p>
    <w:p w:rsidR="00D33182" w:rsidRDefault="00D33182">
      <w:pPr>
        <w:spacing w:after="0"/>
        <w:ind w:left="0" w:firstLine="0"/>
        <w:jc w:val="center"/>
        <w:rPr>
          <w:b/>
          <w:bCs/>
          <w:sz w:val="24"/>
          <w:szCs w:val="24"/>
        </w:rPr>
      </w:pPr>
    </w:p>
    <w:p w:rsidR="00D33182" w:rsidRDefault="00617B4F">
      <w:pPr>
        <w:spacing w:after="0"/>
        <w:ind w:left="0"/>
      </w:pPr>
      <w:r>
        <w:rPr>
          <w:b/>
          <w:bCs/>
          <w:sz w:val="24"/>
          <w:szCs w:val="24"/>
        </w:rPr>
        <w:t>Paslaugos tiekėjo rizikos laipsnis</w:t>
      </w:r>
      <w:r>
        <w:rPr>
          <w:sz w:val="24"/>
          <w:szCs w:val="24"/>
        </w:rPr>
        <w:t xml:space="preserve"> (toliau – Rizikos laipsnis) – laipsnis, priskiriamas atsižvelgiant į tiekėjų rizikos vertinimo, apimančio atitiktį Kibernetinio saugumo įstatymui (toliau – KSĮ) ir Kibernetinio saugumo reikalavimų aprašui (toliau – OTR), finansinę, reputacijos, paslaugų kokybės bei veiklos istorijos situaciją, rezultatus ir apskaičiuojamą bendrą rizikos balą.</w:t>
      </w:r>
    </w:p>
    <w:p w:rsidR="00D33182" w:rsidRDefault="00617B4F">
      <w:pPr>
        <w:spacing w:after="0"/>
        <w:ind w:left="0"/>
      </w:pPr>
      <w:r>
        <w:rPr>
          <w:b/>
          <w:bCs/>
          <w:sz w:val="24"/>
          <w:szCs w:val="24"/>
        </w:rPr>
        <w:t>Paslaugos tiekėjo rizikos vertinimas</w:t>
      </w:r>
      <w:r>
        <w:rPr>
          <w:sz w:val="24"/>
          <w:szCs w:val="24"/>
        </w:rPr>
        <w:t xml:space="preserve"> – tiekėjų rizikos analizė, kurios metu potenciali tiekėjų rizika vertinama atitikties KSĮ ir OTR, finansinės, reputacijos, paslaugų kokybės bei veiklos istorijos situacijos atžvilgiu, rizikai suteikiama skaitinė reikšmė, apskaičiuojamas bendras rizikos balas, nustatomas rizikos laipsnis. </w:t>
      </w:r>
    </w:p>
    <w:p w:rsidR="00D33182" w:rsidRDefault="00617B4F">
      <w:pPr>
        <w:spacing w:after="0"/>
        <w:ind w:left="0"/>
      </w:pPr>
      <w:r>
        <w:rPr>
          <w:b/>
          <w:bCs/>
          <w:sz w:val="24"/>
          <w:szCs w:val="24"/>
        </w:rPr>
        <w:t>Paslaugų tiekėjo rizikos valdymas</w:t>
      </w:r>
      <w:r>
        <w:rPr>
          <w:sz w:val="24"/>
          <w:szCs w:val="24"/>
        </w:rPr>
        <w:t xml:space="preserve"> – veiksmai, kuriais, atsižvelgiant į tiekėjų rizikos laipsnį ir tiekėjų kritiškumą, riziką siekiama koordinuoti ir kontroliuoti.</w:t>
      </w:r>
    </w:p>
    <w:p w:rsidR="00D33182" w:rsidRDefault="00D33182"/>
    <w:p w:rsidR="00D33182" w:rsidRDefault="00D33182">
      <w:pPr>
        <w:spacing w:after="0" w:line="276" w:lineRule="auto"/>
        <w:ind w:left="0" w:firstLine="0"/>
        <w:rPr>
          <w:sz w:val="24"/>
          <w:szCs w:val="24"/>
          <w:shd w:val="clear" w:color="auto" w:fill="FFFF00"/>
        </w:rPr>
      </w:pPr>
    </w:p>
    <w:tbl>
      <w:tblPr>
        <w:tblW w:w="9805" w:type="dxa"/>
        <w:tblLayout w:type="fixed"/>
        <w:tblCellMar>
          <w:left w:w="10" w:type="dxa"/>
          <w:right w:w="10" w:type="dxa"/>
        </w:tblCellMar>
        <w:tblLook w:val="0000" w:firstRow="0" w:lastRow="0" w:firstColumn="0" w:lastColumn="0" w:noHBand="0" w:noVBand="0"/>
      </w:tblPr>
      <w:tblGrid>
        <w:gridCol w:w="805"/>
        <w:gridCol w:w="1350"/>
        <w:gridCol w:w="540"/>
        <w:gridCol w:w="4855"/>
        <w:gridCol w:w="725"/>
        <w:gridCol w:w="990"/>
        <w:gridCol w:w="540"/>
      </w:tblGrid>
      <w:tr w:rsidR="00D33182">
        <w:tblPrEx>
          <w:tblCellMar>
            <w:top w:w="0" w:type="dxa"/>
            <w:bottom w:w="0" w:type="dxa"/>
          </w:tblCellMar>
        </w:tblPrEx>
        <w:trPr>
          <w:cantSplit/>
          <w:trHeight w:val="413"/>
          <w:tblHeader/>
        </w:trPr>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line="276" w:lineRule="auto"/>
              <w:ind w:left="113" w:right="113"/>
              <w:jc w:val="right"/>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line="276" w:lineRule="auto"/>
              <w:rPr>
                <w:b/>
                <w:bCs/>
              </w:rPr>
            </w:pP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Eil. Nr.</w:t>
            </w:r>
          </w:p>
        </w:tc>
        <w:tc>
          <w:tcPr>
            <w:tcW w:w="4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Klausimas</w:t>
            </w:r>
          </w:p>
        </w:tc>
        <w:tc>
          <w:tcPr>
            <w:tcW w:w="225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Atsakymas</w:t>
            </w:r>
          </w:p>
        </w:tc>
      </w:tr>
      <w:tr w:rsidR="00D33182">
        <w:tblPrEx>
          <w:tblCellMar>
            <w:top w:w="0" w:type="dxa"/>
            <w:bottom w:w="0" w:type="dxa"/>
          </w:tblCellMar>
        </w:tblPrEx>
        <w:trPr>
          <w:cantSplit/>
          <w:trHeight w:val="1061"/>
          <w:tblHeader/>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4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rPr>
                <w:b/>
                <w:bCs/>
              </w:rPr>
            </w:pPr>
            <w:r>
              <w:rPr>
                <w:b/>
                <w:bCs/>
              </w:rPr>
              <w:t>TAIP</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rPr>
                <w:b/>
                <w:bCs/>
              </w:rPr>
            </w:pPr>
            <w:r>
              <w:rPr>
                <w:b/>
                <w:bCs/>
              </w:rPr>
              <w:t>IŠ DALIES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rPr>
                <w:b/>
                <w:bCs/>
              </w:rPr>
            </w:pPr>
            <w:r>
              <w:rPr>
                <w:b/>
                <w:bCs/>
              </w:rPr>
              <w:t>NE</w:t>
            </w:r>
          </w:p>
        </w:tc>
      </w:tr>
      <w:tr w:rsidR="00D33182">
        <w:tblPrEx>
          <w:tblCellMar>
            <w:top w:w="0" w:type="dxa"/>
            <w:bottom w:w="0" w:type="dxa"/>
          </w:tblCellMar>
        </w:tblPrEx>
        <w:trPr>
          <w:trHeight w:val="818"/>
        </w:trPr>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113" w:right="113"/>
              <w:jc w:val="right"/>
              <w:rPr>
                <w:b/>
                <w:bCs/>
              </w:rPr>
            </w:pPr>
            <w:r>
              <w:rPr>
                <w:b/>
                <w:bCs/>
              </w:rPr>
              <w:t>Atitiktis kibernetinio saugumo reikalavimams</w:t>
            </w: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Saugumo politika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1.</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patvirtintas kibernetinio saugumo politikos dokumentas (-ai), atitinkantis (-ys) KSĮ ir OTR reikalavimus?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eastAsia="MS Gothic" w:hAnsi="Segoe UI Symbol" w:cs="Segoe UI Symbol"/>
              </w:rPr>
              <w:t>☐</w:t>
            </w:r>
          </w:p>
        </w:tc>
      </w:tr>
      <w:tr w:rsidR="00D33182">
        <w:tblPrEx>
          <w:tblCellMar>
            <w:top w:w="0" w:type="dxa"/>
            <w:bottom w:w="0" w:type="dxa"/>
          </w:tblCellMar>
        </w:tblPrEx>
        <w:trPr>
          <w:trHeight w:val="107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 xml:space="preserve">2.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Organizacijos vadovo patvirtintas Saugumo politikos dokumentas (-ai) yra peržiūrimas (-i) ir atnaujinamas (-i) ne rečiau kaip kartą per metus arba pasikeitus aplinkybėms? </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11"/>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Kibernetinio saugumo rizikos analizė</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3.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patvirtinta tinklų ir informacinių sistemų rizikos vertinimo ir valdymo tvarka?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09"/>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4.</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paskirtas už rizikos vertinimą, rizikos vertinimo proceso priežiūrą bei nuolatinį tobulinimą atsakingas asmuo?</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5.</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taikomas rizikos vertinimo ir valdymo procesas apima tinklų ir informacinių sistemų identifikavimą ir klasifikavimą, rizikos analizę ir rizikos valdymo priemonių pasirinkimą?</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rizikos vertinimas Organizacijoje atliekamas ne rečiau kaip kartą per metus, įvykus esminiams organizaciniams ar kitiems reikšmingiems pokyčiams, taip pat įvykus dideliam kibernetiniam incidentui?</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rizikos vertinimo metu Organizacijoje rengiama rizikos vertinimo ataskaita ir, jei rizikos vertinimo metu yra nustatoma šalinamų trūkumų, rizikos valdymo planas?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Už kibernetinį saugumą atsakingi asmenys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paskirtas (-i) asmuo (-enys), atsakingas (-i) už kibernetinį saugumą (pvz.: Kibernetinio saugumo vadovas, Saugos įgaliotinis ir pan.)?</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6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9.</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visi Organizacijos darbuotojai yra informuoti apie už kibernetinį saugumą paskirtą (-us) asmenį (-is)?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paskirtas (-i) asmuo (-enys), atsakingas (-i)</w:t>
            </w:r>
            <w:r>
              <w:rPr>
                <w:lang w:val="en-US"/>
              </w:rPr>
              <w:t xml:space="preserve"> u</w:t>
            </w:r>
            <w:r>
              <w:t xml:space="preserve">ž tinklų ir informacinių sistemų priežiūrą, veikimo užtikrinimą (pvz.: IT administratorius, IS administratorius ir pan.)? </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Kibernetinių incidentų valdymas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 xml:space="preserve">11.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patvirtintas kibernetinių incidentų valdymo planas, atitinkantis LR Vyriausybės patvirtinto Nacionalinio kibernetinių incidentų valdymo plano nuostatas?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12.</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Jei Organizacijai tinklų ir informacinių sistemų paslaugas, susijusias su kibernetinių incidentų valdymu, teikia paslaugų teikėjai, ar patvirtintas kibernetinių incidentų valdymo planas yra suderintas su paslaugų teikėju? </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13.</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patvirtintas kibernetinių incidentų valdymo plano veiksmingumas yra reguliariai išbandomas ir ar yra parengiama veiksmingumo išbandymo ataskaita?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18"/>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14.</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nustatyti žurnalinių įrašų (angl. </w:t>
            </w:r>
            <w:r>
              <w:rPr>
                <w:i/>
                <w:iCs/>
                <w:lang w:val="en-US"/>
              </w:rPr>
              <w:t>log</w:t>
            </w:r>
            <w:r>
              <w:t>) administravimo ir saugojimo, įsibrovimų aptikimo ir prevencijos reikalavimai?</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11"/>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15.</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įgyvendinti techniniai reikalavimai, nurodyti OTR Lentelėje </w:t>
            </w:r>
            <w:r>
              <w:rPr>
                <w:lang w:val="en-US"/>
              </w:rPr>
              <w:t>1?</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3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Veiklos tęstinumo valdymas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16.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patvirtintas veiklos tęstinumo valdymo planas?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09"/>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parengtas detalus tinklų ir informacinių sistemų veiklos atkūrimo planas, apimantis atsakingus asmenis, veiksmų atlikimo terminus ir pan.?</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nustatytas tinklų ir informacinių sistemų ar jų dalies atkūrimo laikotarpis (angl. </w:t>
            </w:r>
            <w:r>
              <w:rPr>
                <w:i/>
                <w:iCs/>
                <w:lang w:val="en-US"/>
              </w:rPr>
              <w:t>Recovery time objective,RTO</w:t>
            </w:r>
            <w:r>
              <w:t>) ir ar jis yra reguliariai išbandomas?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19.</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nustatytas tinklų ir informacinių sistemų ar jų dalies duomenų praradimo laikas (angl. </w:t>
            </w:r>
            <w:r>
              <w:rPr>
                <w:i/>
                <w:iCs/>
                <w:lang w:val="en-US"/>
              </w:rPr>
              <w:t>Recovery point objective, RPO</w:t>
            </w:r>
            <w:r>
              <w:t>) ir ar jis yra reguliariai išbandomas?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01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20.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nustatyti atsarginių duomenų kopijų kūrimo, saugojimo ir duomenų atkūrimo iš jų reikalavimai ir ar yra aiškiai apibrėžti atsarginio kopijavimo mastas ir dažnis?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8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21.</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2</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Tiekimo grandinės saugumo užtikrinimas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22.</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tiekimo grandinės saugumo valdymo tvarka, taikoma paslaugų, darbų ar įrangos pirkimams, susijusiems su tinklų ir informacinių sistemų projektavimu, kūrimu, diegimu, naudojimu, priežiūra, modernizavimu ir (ar) kibernetinio saugumo užtikrinimu?</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27"/>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23.</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numatyti tinklų ir informacinių sistemų tiekėjų atrankos kriterijai apimantys atitiktį KSĮ, kokybės reikalavimus ir prieigų valdymą?</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24.</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Organizacija sutartyse su tiekėjais (įskaitant subtiekėjus), kiek tai susiję su teikiamomis paslaugomis, numato reikalavimus, apimančius atitiktį KSĮ, reikiamus personalo įgūdžius, sertifikatus ar kvalifikacijas, įsipareigojimus pranešti apie įvykusius kibernetinius incidentus ir pan.?</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w:t>
            </w:r>
            <w:r>
              <w:rPr>
                <w:lang w:val="en-US"/>
              </w:rPr>
              <w:t>5</w:t>
            </w:r>
            <w:r>
              <w:t>.</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Organizacija yra numačiusi tinklų ir informacinių sistemų paslaugų teikėjų rizikos vertinimo reikalavimus ir ar remdamasi jais reguliariai atlieka tiekėjų kontrolę (vertinimą, sutarčių peržiūrą, planinius ir (ar) neplaninius auditus)?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Organizacija su interneto paslaugos, jei duomenų perdavimo paslauga yra esminė paslaugai teikti, teikėju yra sudariusi sutartį (-is), kurioje (-iose) numatyta: reagavimas į kibernetinius incidentus įprastomis darbo valandomis, reagavimas į kibernetinius incidentus po darbo valandų, nepertraukiamas interneto paslaugos teikimas: 24 valandas per parą, 7 dienas per savaitę, paslaugos sutrikimų registravimas: 24 valandas per parą, 7 dienas per savaitę, ir apsaugos nuo tinklų ir informacinės sistemos trikdymo taikymas (angl. </w:t>
            </w:r>
            <w:r>
              <w:rPr>
                <w:i/>
                <w:iCs/>
                <w:lang w:val="en-US"/>
              </w:rPr>
              <w:t>Denial of Service, DoS; Distributed Denial of Service, DDoS</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6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Saugus tinklų ir informacinių sistemų įsigijimas, plėtojimas ir priežiūra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tinklų ir informacinių sistemų įsigijimo, plėtojimo ir priežiūros saugumo užtikrinimo tvarka?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75"/>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28.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nustatytos tinklų ir informacinių sistemų pokyčių, pataisų ir spragų valdymo tvarkos?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9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 xml:space="preserve">29.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rengiamas, ne rečiau nei kartą per metus peržiūrimas ir atjauninamas leistinos programinės įrangos sąrašas?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09"/>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programinę įrangą diegia, reikiamus pokyčius, pataisas ir spragų taisymą atlieka tik Organizacijos įgalioti asmenys?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3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31.</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reguliariai atliekamas spragų skenavimas, o visos tinklų informacinės sistemos spragų skenavimas ne rečiau kaip kas </w:t>
            </w:r>
            <w:r>
              <w:rPr>
                <w:lang w:val="en-US"/>
              </w:rPr>
              <w:t xml:space="preserve">6 </w:t>
            </w:r>
            <w:r>
              <w:t>mėnesius?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8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32.</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3</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2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Kibernetinio saugumo reikalavimų veiksmingumo vertinimas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33.</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kibernetinio saugumo reikalavimų veiksmingumo vertinimo tvarka?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34.</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ne rečiau nei kartą per metus, yra atliekamas atitikties KSĮ, OTR ir (ar) Organizacijos patvirtintiems Saugumo politikos dokumentams vertinimas?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45"/>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35.</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ne rečiau kaip kartą per 3 metus, yra atliekamas kibernetinio saugumo auditas, vadovaujantis KSĮ 14 straipsnio 8 punkto nuostatomis?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18"/>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Kibernetinės higienos praktika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kibernetinės higienos praktikos organizavimo ir kibernetinio saugumo mokymų organizavimo ir vykdymo tvarka?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3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ne rečiau nei kartą per metus, visi Organizacijos darbuotojai išklauso kibernetinės higienos praktikos mokymus?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02"/>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38.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Organizacijos darbuotojai yra reguliariai informuojami apie kibernetinio saugumo aktualijas?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2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Kriptografijos ir šifravimo naudojimo politika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39.</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Organizacijoje yra nustatyta kriptografijos ir šifravimo naudojimo tvarka? </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47"/>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40.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4?</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93"/>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 xml:space="preserve">Žmogiškųjų išteklių </w:t>
            </w:r>
            <w:r>
              <w:rPr>
                <w:b/>
                <w:bCs/>
              </w:rPr>
              <w:lastRenderedPageBreak/>
              <w:t xml:space="preserve">saugumas, fizinės prieigos politika ir turto valdymas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lastRenderedPageBreak/>
              <w:t>41.</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žmogiškųjų išteklių saugumo tvarka?</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42.</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prieiga prie tinklų ir informacinių sistemų Organizacijos darbuotojams ir trečiosioms šalims suteikiama tik susipažinus su kibernetinio saugumo dokumentais ir sutikus jų laikytis?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43.</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prieigą prie tinklų ir informacinių sistemų turintys Organizacijos darbuotojai ir trečiosios šalys privalo pasirašyti konfidencialumo ir (ar) informacijos neatskleidimo sutartį, pasižadėjimą?</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44.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fizinės prieigos tvarka, numatanti saugomas Organizacijos patalpas, užtikrinanti saugomų patalpų fizinės apsaugos kontrolę ir tik įgaliotų asmenų patekimą?</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93"/>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45.</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5</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3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46.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turto valdymo tvarka, numatanti turto sąrašą, saugaus turto naudojimo tvarką Organizacijoje ir už Organizacijos ribų?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9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47.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tinklų ir informacinių sistemų gedimai yra registruojami, o jų tvarkymą atlieka tik Organizacijos įgalioti kvalifikuoti specialistai?</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71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48.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6</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Prieigos valdymas</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49.</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prieigos valdymo tvarka, numatanti prieigos naudotojams, administratoriams ir tretiesiems asmenims suteikimą, keitimą, naikinimą, jų tapatybės nustatymą ir pan.?</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1134"/>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50.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saugaus slaptažodžio kūrimo ir naudojimo tvarka, numatanti saugaus slaptažodžio reikalavimus, nurodanti, kad slaptažodžius draudžiama atskleisti kitiems asmenims, juos perduoti atviru tekstu ir pan.?</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63"/>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 xml:space="preserve">51.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nustatyta kelių veiksnių tapatumo priemonių naudojimo tvarka ir ar tokios priemonės yra naudojamos?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5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52.</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Organizacijoje yra įgyvendinti techniniai reikalavimai, nurodyti OTR Lentelėje 7</w:t>
            </w:r>
            <w:r>
              <w:rPr>
                <w:lang w:val="en-US"/>
              </w:rPr>
              <w:t>?</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539"/>
        </w:trPr>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113" w:right="113"/>
              <w:jc w:val="right"/>
              <w:rPr>
                <w:b/>
                <w:bCs/>
              </w:rPr>
            </w:pPr>
            <w:r>
              <w:rPr>
                <w:b/>
                <w:bCs/>
              </w:rPr>
              <w:t>Bend</w:t>
            </w:r>
            <w:r>
              <w:rPr>
                <w:b/>
                <w:bCs/>
              </w:rPr>
              <w:lastRenderedPageBreak/>
              <w:t>rieji veiklos rodikliai</w:t>
            </w: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lastRenderedPageBreak/>
              <w:t>Finansinė būklė</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53.</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per paskutinius 12 mėnesių, Organizacija nepatyrė / nepatiria finansinių sunkumų?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11"/>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 xml:space="preserve">54. </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per paskutinius </w:t>
            </w:r>
            <w:r>
              <w:rPr>
                <w:lang w:val="en-US"/>
              </w:rPr>
              <w:t xml:space="preserve">12 </w:t>
            </w:r>
            <w:r>
              <w:t>mėnesių,  Organizacija turėjo / turi palankų skolų ir nuosavo kapitalo santykį?</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2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55.</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per paskutinius </w:t>
            </w:r>
            <w:r>
              <w:rPr>
                <w:lang w:val="en-US"/>
              </w:rPr>
              <w:t xml:space="preserve">12 </w:t>
            </w:r>
            <w:r>
              <w:t>mėnesių,  Organizacija neturėjo / neturi skolų valstybinėms institucijoms?</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20"/>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Reputacija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56.</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per paskutinius </w:t>
            </w:r>
            <w:r>
              <w:rPr>
                <w:lang w:val="en-US"/>
              </w:rPr>
              <w:t xml:space="preserve">12 </w:t>
            </w:r>
            <w:r>
              <w:t>mėnesių, Organizacija nepatyrė / nepatiria žalos reputacijai?</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629"/>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Paslaugų kokybė</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57.</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Organizacija atlieka pastovią paslaugų kokybės analizę?</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72"/>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58.</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per paskutinius </w:t>
            </w:r>
            <w:r>
              <w:rPr>
                <w:lang w:val="en-US"/>
              </w:rPr>
              <w:t xml:space="preserve">12 </w:t>
            </w:r>
            <w:r>
              <w:t>mėnesių, Organizacija sulaukė/sulaukia teigiamų vartotojų atsiliepimų apie paslaugų kokybę?</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99"/>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b/>
                <w:bCs/>
              </w:rPr>
            </w:pPr>
            <w:r>
              <w:rPr>
                <w:b/>
                <w:bCs/>
              </w:rPr>
              <w:t>Veiklos istorija</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rPr>
                <w:lang w:val="en-US"/>
              </w:rPr>
            </w:pPr>
            <w:r>
              <w:rPr>
                <w:lang w:val="en-US"/>
              </w:rPr>
              <w:t>59.</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 xml:space="preserve">Ar, per paskutinius </w:t>
            </w:r>
            <w:r>
              <w:rPr>
                <w:lang w:val="en-US"/>
              </w:rPr>
              <w:t xml:space="preserve">12 </w:t>
            </w:r>
            <w:r>
              <w:t>mėnesių, Organizacijoje neįvyko / nevyksta didelių kibernetinių incidentų, trikdžiusių / trikdančių Organizacijos veiklą?</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r>
      <w:tr w:rsidR="00D33182">
        <w:tblPrEx>
          <w:tblCellMar>
            <w:top w:w="0" w:type="dxa"/>
            <w:bottom w:w="0" w:type="dxa"/>
          </w:tblCellMar>
        </w:tblPrEx>
        <w:trPr>
          <w:cantSplit/>
          <w:trHeight w:val="836"/>
        </w:trPr>
        <w:tc>
          <w:tcPr>
            <w:tcW w:w="8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13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D33182">
            <w:pPr>
              <w:spacing w:after="0"/>
              <w:rPr>
                <w:b/>
                <w:bCs/>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60.</w:t>
            </w:r>
          </w:p>
        </w:tc>
        <w:tc>
          <w:tcPr>
            <w:tcW w:w="4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33182" w:rsidRDefault="00617B4F">
            <w:pPr>
              <w:spacing w:after="0" w:line="276" w:lineRule="auto"/>
              <w:ind w:left="0" w:firstLine="0"/>
            </w:pPr>
            <w:r>
              <w:t>Ar, per paskutinius 12 mėnesių, Organizacijoje neįvyko / nevyksta nedidelių ir (ar) vos neįvykusių kibernetinių incidentų?</w:t>
            </w:r>
          </w:p>
        </w:tc>
        <w:tc>
          <w:tcPr>
            <w:tcW w:w="7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hAnsi="Segoe UI Symbol" w:cs="Segoe UI Symbo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33182" w:rsidRDefault="00617B4F">
            <w:pPr>
              <w:spacing w:after="0" w:line="276" w:lineRule="auto"/>
              <w:ind w:left="0" w:firstLine="0"/>
            </w:pPr>
            <w:r>
              <w:rPr>
                <w:rFonts w:ascii="Segoe UI Symbol" w:eastAsia="MS Gothic" w:hAnsi="Segoe UI Symbol" w:cs="Segoe UI Symbol"/>
              </w:rPr>
              <w:t>☐</w:t>
            </w:r>
          </w:p>
        </w:tc>
      </w:tr>
    </w:tbl>
    <w:p w:rsidR="00D33182" w:rsidRDefault="00D33182"/>
    <w:sectPr w:rsidR="00D3318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5C1" w:rsidRDefault="00B875C1">
      <w:pPr>
        <w:spacing w:after="0"/>
      </w:pPr>
      <w:r>
        <w:separator/>
      </w:r>
    </w:p>
  </w:endnote>
  <w:endnote w:type="continuationSeparator" w:id="0">
    <w:p w:rsidR="00B875C1" w:rsidRDefault="00B87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5C1" w:rsidRDefault="00B875C1">
      <w:pPr>
        <w:spacing w:after="0"/>
      </w:pPr>
      <w:r>
        <w:rPr>
          <w:color w:val="000000"/>
        </w:rPr>
        <w:separator/>
      </w:r>
    </w:p>
  </w:footnote>
  <w:footnote w:type="continuationSeparator" w:id="0">
    <w:p w:rsidR="00B875C1" w:rsidRDefault="00B875C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182"/>
    <w:rsid w:val="00617B4F"/>
    <w:rsid w:val="00B875C1"/>
    <w:rsid w:val="00D0499B"/>
    <w:rsid w:val="00D33182"/>
    <w:rsid w:val="00E03F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E37698-EBD8-4B84-ABB9-EE817A59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autoSpaceDN w:val="0"/>
      <w:spacing w:after="160"/>
      <w:ind w:left="720" w:firstLine="720"/>
      <w:jc w:val="both"/>
    </w:pPr>
    <w:rPr>
      <w:rFonts w:ascii="Times New Roman" w:hAnsi="Times New Roman"/>
      <w:kern w:val="3"/>
      <w:lang w:eastAsia="en-US"/>
    </w:rPr>
  </w:style>
  <w:style w:type="paragraph" w:styleId="Antrat1">
    <w:name w:val="heading 1"/>
    <w:basedOn w:val="prastasis"/>
    <w:next w:val="prastasis"/>
    <w:pPr>
      <w:keepNext/>
      <w:keepLines/>
      <w:spacing w:before="360" w:after="80" w:line="276" w:lineRule="auto"/>
      <w:ind w:left="0" w:firstLine="0"/>
      <w:jc w:val="left"/>
      <w:outlineLvl w:val="0"/>
    </w:pPr>
    <w:rPr>
      <w:rFonts w:ascii="Aptos Display" w:eastAsia="Times New Roman" w:hAnsi="Aptos Display"/>
      <w:color w:val="0F4761"/>
      <w:sz w:val="40"/>
      <w:szCs w:val="40"/>
      <w:lang w:val="en-US"/>
    </w:rPr>
  </w:style>
  <w:style w:type="paragraph" w:styleId="Antrat2">
    <w:name w:val="heading 2"/>
    <w:basedOn w:val="prastasis"/>
    <w:next w:val="prastasis"/>
    <w:pPr>
      <w:keepNext/>
      <w:keepLines/>
      <w:spacing w:before="160" w:after="80" w:line="276" w:lineRule="auto"/>
      <w:ind w:left="0" w:firstLine="0"/>
      <w:jc w:val="left"/>
      <w:outlineLvl w:val="1"/>
    </w:pPr>
    <w:rPr>
      <w:rFonts w:ascii="Aptos Display" w:eastAsia="Times New Roman" w:hAnsi="Aptos Display"/>
      <w:color w:val="0F4761"/>
      <w:sz w:val="32"/>
      <w:szCs w:val="32"/>
      <w:lang w:val="en-US"/>
    </w:rPr>
  </w:style>
  <w:style w:type="paragraph" w:styleId="Antrat3">
    <w:name w:val="heading 3"/>
    <w:basedOn w:val="prastasis"/>
    <w:next w:val="prastasis"/>
    <w:pPr>
      <w:keepNext/>
      <w:keepLines/>
      <w:spacing w:before="160" w:after="80" w:line="276" w:lineRule="auto"/>
      <w:ind w:left="0" w:firstLine="0"/>
      <w:jc w:val="left"/>
      <w:outlineLvl w:val="2"/>
    </w:pPr>
    <w:rPr>
      <w:rFonts w:ascii="Aptos" w:eastAsia="Times New Roman" w:hAnsi="Aptos"/>
      <w:color w:val="0F4761"/>
      <w:sz w:val="28"/>
      <w:szCs w:val="28"/>
      <w:lang w:val="en-US"/>
    </w:rPr>
  </w:style>
  <w:style w:type="paragraph" w:styleId="Antrat4">
    <w:name w:val="heading 4"/>
    <w:basedOn w:val="prastasis"/>
    <w:next w:val="prastasis"/>
    <w:pPr>
      <w:keepNext/>
      <w:keepLines/>
      <w:spacing w:before="80" w:after="40" w:line="276" w:lineRule="auto"/>
      <w:ind w:left="0" w:firstLine="0"/>
      <w:jc w:val="left"/>
      <w:outlineLvl w:val="3"/>
    </w:pPr>
    <w:rPr>
      <w:rFonts w:ascii="Aptos" w:eastAsia="Times New Roman" w:hAnsi="Aptos"/>
      <w:i/>
      <w:iCs/>
      <w:color w:val="0F4761"/>
      <w:sz w:val="24"/>
      <w:szCs w:val="24"/>
      <w:lang w:val="en-US"/>
    </w:rPr>
  </w:style>
  <w:style w:type="paragraph" w:styleId="Antrat5">
    <w:name w:val="heading 5"/>
    <w:basedOn w:val="prastasis"/>
    <w:next w:val="prastasis"/>
    <w:pPr>
      <w:keepNext/>
      <w:keepLines/>
      <w:spacing w:before="80" w:after="40" w:line="276" w:lineRule="auto"/>
      <w:ind w:left="0" w:firstLine="0"/>
      <w:jc w:val="left"/>
      <w:outlineLvl w:val="4"/>
    </w:pPr>
    <w:rPr>
      <w:rFonts w:ascii="Aptos" w:eastAsia="Times New Roman" w:hAnsi="Aptos"/>
      <w:color w:val="0F4761"/>
      <w:sz w:val="24"/>
      <w:szCs w:val="24"/>
      <w:lang w:val="en-US"/>
    </w:rPr>
  </w:style>
  <w:style w:type="paragraph" w:styleId="Antrat6">
    <w:name w:val="heading 6"/>
    <w:basedOn w:val="prastasis"/>
    <w:next w:val="prastasis"/>
    <w:pPr>
      <w:keepNext/>
      <w:keepLines/>
      <w:spacing w:before="40" w:after="0" w:line="276" w:lineRule="auto"/>
      <w:ind w:left="0" w:firstLine="0"/>
      <w:jc w:val="left"/>
      <w:outlineLvl w:val="5"/>
    </w:pPr>
    <w:rPr>
      <w:rFonts w:ascii="Aptos" w:eastAsia="Times New Roman" w:hAnsi="Aptos"/>
      <w:i/>
      <w:iCs/>
      <w:color w:val="595959"/>
      <w:sz w:val="24"/>
      <w:szCs w:val="24"/>
      <w:lang w:val="en-US"/>
    </w:rPr>
  </w:style>
  <w:style w:type="paragraph" w:styleId="Antrat7">
    <w:name w:val="heading 7"/>
    <w:basedOn w:val="prastasis"/>
    <w:next w:val="prastasis"/>
    <w:pPr>
      <w:keepNext/>
      <w:keepLines/>
      <w:spacing w:before="40" w:after="0" w:line="276" w:lineRule="auto"/>
      <w:ind w:left="0" w:firstLine="0"/>
      <w:jc w:val="left"/>
      <w:outlineLvl w:val="6"/>
    </w:pPr>
    <w:rPr>
      <w:rFonts w:ascii="Aptos" w:eastAsia="Times New Roman" w:hAnsi="Aptos"/>
      <w:color w:val="595959"/>
      <w:sz w:val="24"/>
      <w:szCs w:val="24"/>
      <w:lang w:val="en-US"/>
    </w:rPr>
  </w:style>
  <w:style w:type="paragraph" w:styleId="Antrat8">
    <w:name w:val="heading 8"/>
    <w:basedOn w:val="prastasis"/>
    <w:next w:val="prastasis"/>
    <w:pPr>
      <w:keepNext/>
      <w:keepLines/>
      <w:spacing w:after="0" w:line="276" w:lineRule="auto"/>
      <w:ind w:left="0" w:firstLine="0"/>
      <w:jc w:val="left"/>
      <w:outlineLvl w:val="7"/>
    </w:pPr>
    <w:rPr>
      <w:rFonts w:ascii="Aptos" w:eastAsia="Times New Roman" w:hAnsi="Aptos"/>
      <w:i/>
      <w:iCs/>
      <w:color w:val="272727"/>
      <w:sz w:val="24"/>
      <w:szCs w:val="24"/>
      <w:lang w:val="en-US"/>
    </w:rPr>
  </w:style>
  <w:style w:type="paragraph" w:styleId="Antrat9">
    <w:name w:val="heading 9"/>
    <w:basedOn w:val="prastasis"/>
    <w:next w:val="prastasis"/>
    <w:pPr>
      <w:keepNext/>
      <w:keepLines/>
      <w:spacing w:after="0" w:line="276" w:lineRule="auto"/>
      <w:ind w:left="0" w:firstLine="0"/>
      <w:jc w:val="left"/>
      <w:outlineLvl w:val="8"/>
    </w:pPr>
    <w:rPr>
      <w:rFonts w:ascii="Aptos" w:eastAsia="Times New Roman" w:hAnsi="Aptos"/>
      <w:color w:val="272727"/>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rPr>
      <w:rFonts w:ascii="Aptos Display" w:eastAsia="Times New Roman" w:hAnsi="Aptos Display" w:cs="Times New Roman"/>
      <w:color w:val="0F4761"/>
      <w:sz w:val="40"/>
      <w:szCs w:val="40"/>
    </w:rPr>
  </w:style>
  <w:style w:type="character" w:customStyle="1" w:styleId="Heading2Char">
    <w:name w:val="Heading 2 Char"/>
    <w:rPr>
      <w:rFonts w:ascii="Aptos Display" w:eastAsia="Times New Roman" w:hAnsi="Aptos Display" w:cs="Times New Roman"/>
      <w:color w:val="0F4761"/>
      <w:sz w:val="32"/>
      <w:szCs w:val="32"/>
    </w:rPr>
  </w:style>
  <w:style w:type="character" w:customStyle="1" w:styleId="Heading3Char">
    <w:name w:val="Heading 3 Char"/>
    <w:rPr>
      <w:rFonts w:eastAsia="Times New Roman" w:cs="Times New Roman"/>
      <w:color w:val="0F4761"/>
      <w:sz w:val="28"/>
      <w:szCs w:val="28"/>
    </w:rPr>
  </w:style>
  <w:style w:type="character" w:customStyle="1" w:styleId="Heading4Char">
    <w:name w:val="Heading 4 Char"/>
    <w:rPr>
      <w:rFonts w:eastAsia="Times New Roman" w:cs="Times New Roman"/>
      <w:i/>
      <w:iCs/>
      <w:color w:val="0F4761"/>
    </w:rPr>
  </w:style>
  <w:style w:type="character" w:customStyle="1" w:styleId="Heading5Char">
    <w:name w:val="Heading 5 Char"/>
    <w:rPr>
      <w:rFonts w:eastAsia="Times New Roman" w:cs="Times New Roman"/>
      <w:color w:val="0F4761"/>
    </w:rPr>
  </w:style>
  <w:style w:type="character" w:customStyle="1" w:styleId="Heading6Char">
    <w:name w:val="Heading 6 Char"/>
    <w:rPr>
      <w:rFonts w:eastAsia="Times New Roman" w:cs="Times New Roman"/>
      <w:i/>
      <w:iCs/>
      <w:color w:val="595959"/>
    </w:rPr>
  </w:style>
  <w:style w:type="character" w:customStyle="1" w:styleId="Heading7Char">
    <w:name w:val="Heading 7 Char"/>
    <w:rPr>
      <w:rFonts w:eastAsia="Times New Roman" w:cs="Times New Roman"/>
      <w:color w:val="595959"/>
    </w:rPr>
  </w:style>
  <w:style w:type="character" w:customStyle="1" w:styleId="Heading8Char">
    <w:name w:val="Heading 8 Char"/>
    <w:rPr>
      <w:rFonts w:eastAsia="Times New Roman" w:cs="Times New Roman"/>
      <w:i/>
      <w:iCs/>
      <w:color w:val="272727"/>
    </w:rPr>
  </w:style>
  <w:style w:type="character" w:customStyle="1" w:styleId="Heading9Char">
    <w:name w:val="Heading 9 Char"/>
    <w:rPr>
      <w:rFonts w:eastAsia="Times New Roman" w:cs="Times New Roman"/>
      <w:color w:val="272727"/>
    </w:rPr>
  </w:style>
  <w:style w:type="paragraph" w:styleId="Pavadinimas">
    <w:name w:val="Title"/>
    <w:basedOn w:val="prastasis"/>
    <w:next w:val="prastasis"/>
    <w:pPr>
      <w:spacing w:after="80"/>
      <w:ind w:left="0" w:firstLine="0"/>
      <w:jc w:val="left"/>
    </w:pPr>
    <w:rPr>
      <w:rFonts w:ascii="Aptos Display" w:eastAsia="Times New Roman" w:hAnsi="Aptos Display"/>
      <w:spacing w:val="-10"/>
      <w:sz w:val="56"/>
      <w:szCs w:val="56"/>
      <w:lang w:val="en-US"/>
    </w:rPr>
  </w:style>
  <w:style w:type="character" w:customStyle="1" w:styleId="TitleChar">
    <w:name w:val="Title Char"/>
    <w:rPr>
      <w:rFonts w:ascii="Aptos Display" w:eastAsia="Times New Roman" w:hAnsi="Aptos Display" w:cs="Times New Roman"/>
      <w:spacing w:val="-10"/>
      <w:kern w:val="3"/>
      <w:sz w:val="56"/>
      <w:szCs w:val="56"/>
    </w:rPr>
  </w:style>
  <w:style w:type="paragraph" w:styleId="Paantrat">
    <w:name w:val="Subtitle"/>
    <w:basedOn w:val="prastasis"/>
    <w:next w:val="prastasis"/>
    <w:pPr>
      <w:spacing w:line="276" w:lineRule="auto"/>
      <w:jc w:val="left"/>
    </w:pPr>
    <w:rPr>
      <w:rFonts w:ascii="Aptos" w:eastAsia="Times New Roman" w:hAnsi="Aptos"/>
      <w:color w:val="595959"/>
      <w:spacing w:val="15"/>
      <w:sz w:val="28"/>
      <w:szCs w:val="28"/>
      <w:lang w:val="en-US"/>
    </w:rPr>
  </w:style>
  <w:style w:type="character" w:customStyle="1" w:styleId="SubtitleChar">
    <w:name w:val="Subtitle Char"/>
    <w:rPr>
      <w:rFonts w:eastAsia="Times New Roman" w:cs="Times New Roman"/>
      <w:color w:val="595959"/>
      <w:spacing w:val="15"/>
      <w:sz w:val="28"/>
      <w:szCs w:val="28"/>
    </w:rPr>
  </w:style>
  <w:style w:type="paragraph" w:styleId="Citata">
    <w:name w:val="Quote"/>
    <w:basedOn w:val="prastasis"/>
    <w:next w:val="prastasis"/>
    <w:pPr>
      <w:spacing w:before="160" w:line="276" w:lineRule="auto"/>
      <w:ind w:left="0" w:firstLine="0"/>
      <w:jc w:val="center"/>
    </w:pPr>
    <w:rPr>
      <w:rFonts w:ascii="Aptos" w:hAnsi="Aptos"/>
      <w:i/>
      <w:iCs/>
      <w:color w:val="404040"/>
      <w:sz w:val="24"/>
      <w:szCs w:val="24"/>
      <w:lang w:val="en-US"/>
    </w:rPr>
  </w:style>
  <w:style w:type="character" w:customStyle="1" w:styleId="QuoteChar">
    <w:name w:val="Quote Char"/>
    <w:rPr>
      <w:i/>
      <w:iCs/>
      <w:color w:val="404040"/>
    </w:rPr>
  </w:style>
  <w:style w:type="paragraph" w:styleId="Sraopastraipa">
    <w:name w:val="List Paragraph"/>
    <w:basedOn w:val="prastasis"/>
    <w:pPr>
      <w:spacing w:line="276" w:lineRule="auto"/>
      <w:ind w:firstLine="0"/>
      <w:jc w:val="left"/>
    </w:pPr>
    <w:rPr>
      <w:rFonts w:ascii="Aptos" w:hAnsi="Aptos"/>
      <w:sz w:val="24"/>
      <w:szCs w:val="24"/>
      <w:lang w:val="en-US"/>
    </w:rPr>
  </w:style>
  <w:style w:type="character" w:styleId="Rykuspabraukimas">
    <w:name w:val="Intense Emphasi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line="276" w:lineRule="auto"/>
      <w:ind w:left="864" w:right="864" w:firstLine="0"/>
      <w:jc w:val="center"/>
    </w:pPr>
    <w:rPr>
      <w:rFonts w:ascii="Aptos" w:hAnsi="Aptos"/>
      <w:i/>
      <w:iCs/>
      <w:color w:val="0F4761"/>
      <w:sz w:val="24"/>
      <w:szCs w:val="24"/>
      <w:lang w:val="en-US"/>
    </w:rPr>
  </w:style>
  <w:style w:type="character" w:customStyle="1" w:styleId="IntenseQuoteChar">
    <w:name w:val="Intense Quote Char"/>
    <w:rPr>
      <w:i/>
      <w:iCs/>
      <w:color w:val="0F4761"/>
    </w:rPr>
  </w:style>
  <w:style w:type="character" w:styleId="Rykinuoroda">
    <w:name w:val="Intense Reference"/>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7228</Words>
  <Characters>4121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Morkūnas</dc:creator>
  <cp:keywords/>
  <dc:description/>
  <cp:lastModifiedBy>Ugnė Čepauskaitė</cp:lastModifiedBy>
  <cp:revision>2</cp:revision>
  <dcterms:created xsi:type="dcterms:W3CDTF">2026-05-15T09:55:00Z</dcterms:created>
  <dcterms:modified xsi:type="dcterms:W3CDTF">2026-05-15T09:55:00Z</dcterms:modified>
</cp:coreProperties>
</file>